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7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977"/>
        <w:gridCol w:w="4549"/>
      </w:tblGrid>
      <w:tr w:rsidR="0095772B" w:rsidTr="00891508">
        <w:tc>
          <w:tcPr>
            <w:tcW w:w="3545" w:type="dxa"/>
          </w:tcPr>
          <w:p w:rsidR="0095772B" w:rsidRDefault="0095772B">
            <w:r>
              <w:rPr>
                <w:b/>
                <w:noProof/>
                <w:color w:val="CC0033"/>
                <w:sz w:val="32"/>
              </w:rPr>
              <w:drawing>
                <wp:anchor distT="0" distB="0" distL="114300" distR="114300" simplePos="0" relativeHeight="251659264" behindDoc="0" locked="0" layoutInCell="1" allowOverlap="1" wp14:anchorId="648B9D65" wp14:editId="5B2215DD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158115</wp:posOffset>
                  </wp:positionV>
                  <wp:extent cx="2038350" cy="609600"/>
                  <wp:effectExtent l="0" t="0" r="0" b="0"/>
                  <wp:wrapNone/>
                  <wp:docPr id="1" name="Picture 1" descr="G:\Strategic Management\Finance and Administration\Logo_GIC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Strategic Management\Finance and Administration\Logo_GIC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772B" w:rsidRDefault="0095772B">
            <w:r>
              <w:t>J</w:t>
            </w:r>
          </w:p>
          <w:p w:rsidR="0095772B" w:rsidRDefault="0095772B">
            <w:r>
              <w:t>J</w:t>
            </w:r>
          </w:p>
          <w:p w:rsidR="0095772B" w:rsidRDefault="0095772B">
            <w:r>
              <w:t>j</w:t>
            </w:r>
          </w:p>
        </w:tc>
        <w:tc>
          <w:tcPr>
            <w:tcW w:w="2977" w:type="dxa"/>
          </w:tcPr>
          <w:p w:rsidR="0095772B" w:rsidRDefault="0095772B" w:rsidP="00891508">
            <w:pPr>
              <w:ind w:right="111"/>
            </w:pPr>
            <w:r>
              <w:rPr>
                <w:noProof/>
              </w:rPr>
              <w:drawing>
                <wp:inline distT="0" distB="0" distL="0" distR="0" wp14:anchorId="45ADA7E3" wp14:editId="320E78D2">
                  <wp:extent cx="1619250" cy="8276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R_2_color_we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78" cy="82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772B" w:rsidRDefault="0095772B"/>
          <w:p w:rsidR="0095772B" w:rsidRDefault="0095772B"/>
        </w:tc>
        <w:tc>
          <w:tcPr>
            <w:tcW w:w="4549" w:type="dxa"/>
          </w:tcPr>
          <w:p w:rsidR="0095772B" w:rsidRDefault="003531D5">
            <w:r>
              <w:rPr>
                <w:noProof/>
              </w:rPr>
              <w:drawing>
                <wp:inline distT="0" distB="0" distL="0" distR="0" wp14:anchorId="703DE375" wp14:editId="114BF12C">
                  <wp:extent cx="2381250" cy="636654"/>
                  <wp:effectExtent l="0" t="0" r="0" b="0"/>
                  <wp:docPr id="6" name="Picture 6" descr="VVAF-new-logo-Final 4Apr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VAF-new-logo-Final 4Apr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3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051" w:rsidRPr="00437DAB" w:rsidRDefault="00135051"/>
    <w:p w:rsidR="008670F7" w:rsidRDefault="00140E66" w:rsidP="00171FA1">
      <w:pPr>
        <w:jc w:val="center"/>
        <w:rPr>
          <w:b/>
          <w:sz w:val="28"/>
          <w:lang w:val="en-US"/>
        </w:rPr>
      </w:pPr>
      <w:r w:rsidRPr="00171FA1">
        <w:rPr>
          <w:b/>
          <w:sz w:val="28"/>
          <w:lang w:val="en-US"/>
        </w:rPr>
        <w:t>Fourth Meeting of the States Parties to the C</w:t>
      </w:r>
      <w:r w:rsidR="008670F7">
        <w:rPr>
          <w:b/>
          <w:sz w:val="28"/>
          <w:lang w:val="en-US"/>
        </w:rPr>
        <w:t>onvention on Cluster Munitions</w:t>
      </w:r>
    </w:p>
    <w:p w:rsidR="00171FA1" w:rsidRPr="008670F7" w:rsidRDefault="001D3515" w:rsidP="008670F7">
      <w:pPr>
        <w:jc w:val="center"/>
        <w:rPr>
          <w:lang w:val="en-US"/>
        </w:rPr>
      </w:pPr>
      <w:r>
        <w:rPr>
          <w:b/>
          <w:sz w:val="28"/>
          <w:lang w:val="en-US"/>
        </w:rPr>
        <w:t xml:space="preserve">Side-event on </w:t>
      </w:r>
      <w:r w:rsidR="00171FA1">
        <w:rPr>
          <w:b/>
          <w:sz w:val="28"/>
          <w:lang w:val="en-US"/>
        </w:rPr>
        <w:t xml:space="preserve"> </w:t>
      </w:r>
    </w:p>
    <w:p w:rsidR="00171FA1" w:rsidRPr="003F2342" w:rsidRDefault="00171FA1" w:rsidP="00171FA1">
      <w:pPr>
        <w:pStyle w:val="Heading2"/>
        <w:jc w:val="center"/>
        <w:rPr>
          <w:rFonts w:ascii="Calibri" w:eastAsia="Times New Roman" w:hAnsi="Calibri" w:cs="Calibri"/>
          <w:color w:val="auto"/>
          <w:sz w:val="28"/>
          <w:lang w:val="en-US"/>
        </w:rPr>
      </w:pPr>
      <w:r w:rsidRPr="003F2342">
        <w:rPr>
          <w:rFonts w:ascii="Calibri" w:eastAsia="Times New Roman" w:hAnsi="Calibri" w:cs="Calibri"/>
          <w:color w:val="auto"/>
          <w:sz w:val="28"/>
          <w:lang w:val="en-US"/>
        </w:rPr>
        <w:t>Mine/Explosive Remnants of War Victim Assistance: what role for information management systems?</w:t>
      </w:r>
    </w:p>
    <w:p w:rsidR="001D3515" w:rsidRDefault="001D3515" w:rsidP="001D3515">
      <w:pPr>
        <w:jc w:val="center"/>
        <w:rPr>
          <w:sz w:val="24"/>
          <w:lang w:val="en-US"/>
        </w:rPr>
      </w:pPr>
      <w:r w:rsidRPr="00171FA1">
        <w:rPr>
          <w:sz w:val="24"/>
          <w:lang w:val="en-US"/>
        </w:rPr>
        <w:t>Co-</w:t>
      </w:r>
      <w:proofErr w:type="spellStart"/>
      <w:r>
        <w:rPr>
          <w:sz w:val="24"/>
          <w:lang w:val="en-US"/>
        </w:rPr>
        <w:t>organised</w:t>
      </w:r>
      <w:proofErr w:type="spellEnd"/>
      <w:r>
        <w:rPr>
          <w:sz w:val="24"/>
          <w:lang w:val="en-US"/>
        </w:rPr>
        <w:t xml:space="preserve"> </w:t>
      </w:r>
      <w:r w:rsidRPr="00171FA1">
        <w:rPr>
          <w:sz w:val="24"/>
          <w:lang w:val="en-US"/>
        </w:rPr>
        <w:t>by the Geneva International Centre for Humanitarian Demining (GICHD), the Vietnam</w:t>
      </w:r>
      <w:r>
        <w:rPr>
          <w:sz w:val="24"/>
          <w:lang w:val="en-US"/>
        </w:rPr>
        <w:t xml:space="preserve"> Veterans of America Foundation (VVAF) </w:t>
      </w:r>
      <w:r w:rsidRPr="00171FA1">
        <w:rPr>
          <w:sz w:val="24"/>
          <w:lang w:val="en-US"/>
        </w:rPr>
        <w:t>and the Center for International Stabilization and Recovery (CISR)</w:t>
      </w:r>
    </w:p>
    <w:p w:rsidR="001D3515" w:rsidRPr="00171FA1" w:rsidRDefault="001D3515" w:rsidP="001D3515">
      <w:pPr>
        <w:jc w:val="center"/>
        <w:rPr>
          <w:lang w:val="en-US"/>
        </w:rPr>
      </w:pPr>
      <w:r w:rsidRPr="008670F7">
        <w:rPr>
          <w:sz w:val="24"/>
          <w:lang w:val="en-US"/>
        </w:rPr>
        <w:t>1</w:t>
      </w:r>
      <w:r w:rsidRPr="001D3515">
        <w:rPr>
          <w:sz w:val="24"/>
          <w:lang w:val="en-US"/>
        </w:rPr>
        <w:t>2</w:t>
      </w:r>
      <w:r w:rsidRPr="00171FA1">
        <w:rPr>
          <w:sz w:val="24"/>
          <w:lang w:val="en-US"/>
        </w:rPr>
        <w:t xml:space="preserve"> September 2013, </w:t>
      </w:r>
      <w:r>
        <w:rPr>
          <w:sz w:val="24"/>
          <w:lang w:val="en-US"/>
        </w:rPr>
        <w:t>13.00 – 14.00</w:t>
      </w:r>
    </w:p>
    <w:p w:rsidR="00171FA1" w:rsidRDefault="00171FA1" w:rsidP="0095772B">
      <w:pPr>
        <w:rPr>
          <w:lang w:val="en-US"/>
        </w:rPr>
      </w:pPr>
    </w:p>
    <w:p w:rsidR="002C6F1A" w:rsidRPr="002C6F1A" w:rsidRDefault="002C6F1A" w:rsidP="002C6F1A">
      <w:pPr>
        <w:pStyle w:val="Heading2"/>
        <w:rPr>
          <w:rFonts w:ascii="Calibri" w:eastAsia="Times New Roman" w:hAnsi="Calibri" w:cs="Calibri"/>
          <w:lang w:val="en-US"/>
        </w:rPr>
      </w:pPr>
      <w:r w:rsidRPr="002C6F1A">
        <w:rPr>
          <w:rFonts w:ascii="Calibri" w:eastAsia="Times New Roman" w:hAnsi="Calibri" w:cs="Calibri"/>
          <w:lang w:val="en-US"/>
        </w:rPr>
        <w:t>Chair</w:t>
      </w:r>
    </w:p>
    <w:p w:rsidR="002C6F1A" w:rsidRDefault="002C6F1A" w:rsidP="002C6F1A">
      <w:pPr>
        <w:pStyle w:val="ListParagraph"/>
        <w:numPr>
          <w:ilvl w:val="0"/>
          <w:numId w:val="17"/>
        </w:numPr>
        <w:rPr>
          <w:lang w:val="en-US"/>
        </w:rPr>
      </w:pPr>
      <w:r w:rsidRPr="00171FA1">
        <w:rPr>
          <w:b/>
          <w:lang w:val="en-US"/>
        </w:rPr>
        <w:t>Dr. Ken Rutherford</w:t>
      </w:r>
      <w:r w:rsidRPr="00140E66">
        <w:rPr>
          <w:lang w:val="en-US"/>
        </w:rPr>
        <w:t>, JMU-CISR Director, United States</w:t>
      </w:r>
    </w:p>
    <w:p w:rsidR="00C244DB" w:rsidRPr="00C244DB" w:rsidRDefault="00C244DB" w:rsidP="00C244DB">
      <w:pPr>
        <w:pStyle w:val="ListParagraph"/>
        <w:rPr>
          <w:lang w:val="en-US"/>
        </w:rPr>
      </w:pPr>
      <w:bookmarkStart w:id="0" w:name="_GoBack"/>
      <w:bookmarkEnd w:id="0"/>
    </w:p>
    <w:p w:rsidR="00B47E96" w:rsidRPr="002C6F1A" w:rsidRDefault="00C244DB" w:rsidP="00B47E96">
      <w:pPr>
        <w:pStyle w:val="Heading2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Panelists</w:t>
      </w:r>
    </w:p>
    <w:p w:rsidR="00140E66" w:rsidRPr="00140E66" w:rsidRDefault="00140E66" w:rsidP="00140E66">
      <w:pPr>
        <w:pStyle w:val="ListParagraph"/>
        <w:numPr>
          <w:ilvl w:val="0"/>
          <w:numId w:val="17"/>
        </w:numPr>
        <w:rPr>
          <w:lang w:val="en-US"/>
        </w:rPr>
      </w:pPr>
      <w:r w:rsidRPr="00171FA1">
        <w:rPr>
          <w:b/>
          <w:lang w:val="en-US"/>
        </w:rPr>
        <w:t>Ambassador Stephan Husy</w:t>
      </w:r>
      <w:r w:rsidRPr="00140E66">
        <w:rPr>
          <w:lang w:val="en-US"/>
        </w:rPr>
        <w:t>, GICHD Director, Switzerland</w:t>
      </w:r>
    </w:p>
    <w:p w:rsidR="00140E66" w:rsidRPr="00140E66" w:rsidRDefault="00140E66" w:rsidP="00140E66">
      <w:pPr>
        <w:pStyle w:val="ListParagraph"/>
        <w:numPr>
          <w:ilvl w:val="0"/>
          <w:numId w:val="17"/>
        </w:numPr>
        <w:rPr>
          <w:lang w:val="en-US"/>
        </w:rPr>
      </w:pPr>
      <w:r w:rsidRPr="00171FA1">
        <w:rPr>
          <w:b/>
          <w:lang w:val="en-US"/>
        </w:rPr>
        <w:t>Ms. Ana Maria Arango</w:t>
      </w:r>
      <w:r w:rsidRPr="00140E66">
        <w:rPr>
          <w:lang w:val="en-US"/>
        </w:rPr>
        <w:t xml:space="preserve">, GICHD </w:t>
      </w:r>
      <w:r w:rsidR="001D3515">
        <w:rPr>
          <w:lang w:val="en-US"/>
        </w:rPr>
        <w:t>consultant</w:t>
      </w:r>
      <w:r w:rsidRPr="00140E66">
        <w:rPr>
          <w:lang w:val="en-US"/>
        </w:rPr>
        <w:t>, Colombia</w:t>
      </w:r>
    </w:p>
    <w:p w:rsidR="00140E66" w:rsidRPr="00140E66" w:rsidRDefault="00140E66" w:rsidP="00140E66">
      <w:pPr>
        <w:pStyle w:val="ListParagraph"/>
        <w:numPr>
          <w:ilvl w:val="0"/>
          <w:numId w:val="17"/>
        </w:numPr>
        <w:rPr>
          <w:lang w:val="en-US"/>
        </w:rPr>
      </w:pPr>
      <w:r w:rsidRPr="00171FA1">
        <w:rPr>
          <w:b/>
          <w:lang w:val="en-US"/>
        </w:rPr>
        <w:t>Dr. Ken Rutherford</w:t>
      </w:r>
      <w:r w:rsidRPr="00140E66">
        <w:rPr>
          <w:lang w:val="en-US"/>
        </w:rPr>
        <w:t>, JMU-CISR Director, United States</w:t>
      </w:r>
    </w:p>
    <w:p w:rsidR="00140E66" w:rsidRDefault="00140E66" w:rsidP="00140E66">
      <w:pPr>
        <w:pStyle w:val="ListParagraph"/>
        <w:numPr>
          <w:ilvl w:val="0"/>
          <w:numId w:val="17"/>
        </w:numPr>
        <w:rPr>
          <w:lang w:val="en-US"/>
        </w:rPr>
      </w:pPr>
      <w:r w:rsidRPr="00171FA1">
        <w:rPr>
          <w:b/>
          <w:lang w:val="en-US"/>
        </w:rPr>
        <w:t>Ms. Thao Griffiths</w:t>
      </w:r>
      <w:r w:rsidRPr="00140E66">
        <w:rPr>
          <w:lang w:val="en-US"/>
        </w:rPr>
        <w:t>, IC-VVAF Country Director, Vietnam</w:t>
      </w:r>
    </w:p>
    <w:p w:rsidR="002C6F1A" w:rsidRPr="002C6F1A" w:rsidRDefault="00C244DB" w:rsidP="002C6F1A">
      <w:pPr>
        <w:pStyle w:val="ListParagraph"/>
        <w:numPr>
          <w:ilvl w:val="0"/>
          <w:numId w:val="17"/>
        </w:numPr>
        <w:rPr>
          <w:color w:val="1F497D"/>
          <w:lang w:val="en-US"/>
        </w:rPr>
      </w:pPr>
      <w:r>
        <w:rPr>
          <w:b/>
          <w:lang w:val="en-US"/>
        </w:rPr>
        <w:t>Mr</w:t>
      </w:r>
      <w:r w:rsidR="002C6F1A">
        <w:rPr>
          <w:b/>
          <w:lang w:val="en-US"/>
        </w:rPr>
        <w:t xml:space="preserve"> Loren </w:t>
      </w:r>
      <w:proofErr w:type="spellStart"/>
      <w:r w:rsidR="002C6F1A">
        <w:rPr>
          <w:b/>
          <w:lang w:val="en-US"/>
        </w:rPr>
        <w:t>Persi</w:t>
      </w:r>
      <w:proofErr w:type="spellEnd"/>
      <w:r w:rsidR="002C6F1A">
        <w:rPr>
          <w:b/>
          <w:lang w:val="en-US"/>
        </w:rPr>
        <w:t xml:space="preserve"> </w:t>
      </w:r>
      <w:r w:rsidR="002C6F1A" w:rsidRPr="002C6F1A">
        <w:rPr>
          <w:b/>
          <w:lang w:val="en-US"/>
        </w:rPr>
        <w:t>Victim Assistance</w:t>
      </w:r>
      <w:r w:rsidR="002C6F1A" w:rsidRPr="002C6F1A">
        <w:rPr>
          <w:color w:val="1F497D"/>
          <w:lang w:val="en-US"/>
        </w:rPr>
        <w:t xml:space="preserve"> </w:t>
      </w:r>
      <w:r w:rsidR="002C6F1A" w:rsidRPr="002C6F1A">
        <w:rPr>
          <w:lang w:val="en-US"/>
        </w:rPr>
        <w:t xml:space="preserve">Coordinator, Landmine and Cluster </w:t>
      </w:r>
      <w:proofErr w:type="spellStart"/>
      <w:r w:rsidR="002C6F1A" w:rsidRPr="002C6F1A">
        <w:rPr>
          <w:lang w:val="en-US"/>
        </w:rPr>
        <w:t>Munition</w:t>
      </w:r>
      <w:proofErr w:type="spellEnd"/>
      <w:r w:rsidR="002C6F1A" w:rsidRPr="002C6F1A">
        <w:rPr>
          <w:lang w:val="en-US"/>
        </w:rPr>
        <w:t xml:space="preserve"> Monitor</w:t>
      </w:r>
    </w:p>
    <w:p w:rsidR="00140E66" w:rsidRDefault="00140E66" w:rsidP="0095772B">
      <w:pPr>
        <w:rPr>
          <w:lang w:val="en-US"/>
        </w:rPr>
      </w:pPr>
    </w:p>
    <w:p w:rsidR="00965EF4" w:rsidRPr="00140E66" w:rsidRDefault="003F2342" w:rsidP="00965EF4">
      <w:pPr>
        <w:pStyle w:val="Heading2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 xml:space="preserve">Session objective </w:t>
      </w:r>
    </w:p>
    <w:p w:rsidR="00140E66" w:rsidRDefault="00140E66" w:rsidP="00140E66">
      <w:pPr>
        <w:spacing w:after="0" w:line="240" w:lineRule="auto"/>
        <w:rPr>
          <w:rFonts w:cstheme="minorHAnsi"/>
          <w:szCs w:val="24"/>
          <w:lang w:val="en-GB"/>
        </w:rPr>
      </w:pPr>
      <w:r w:rsidRPr="00140E66">
        <w:rPr>
          <w:rFonts w:cstheme="minorHAnsi"/>
          <w:szCs w:val="24"/>
          <w:lang w:val="en-GB"/>
        </w:rPr>
        <w:t xml:space="preserve">The proposed break-out session </w:t>
      </w:r>
      <w:r w:rsidR="003F2342">
        <w:rPr>
          <w:rFonts w:cstheme="minorHAnsi"/>
          <w:szCs w:val="24"/>
          <w:lang w:val="en-GB"/>
        </w:rPr>
        <w:t xml:space="preserve">aims to provide </w:t>
      </w:r>
      <w:r w:rsidRPr="00140E66">
        <w:rPr>
          <w:rFonts w:cstheme="minorHAnsi"/>
          <w:szCs w:val="24"/>
          <w:lang w:val="en-GB"/>
        </w:rPr>
        <w:t xml:space="preserve">several insights into the current range of persons with disability (PWD) tracking systems around the world, specifically relating to mine/explosive remnants of war (ERW) survivor/victim assistance, and information management. </w:t>
      </w:r>
    </w:p>
    <w:p w:rsidR="00171FA1" w:rsidRDefault="00171FA1" w:rsidP="00140E66">
      <w:pPr>
        <w:spacing w:after="0" w:line="240" w:lineRule="auto"/>
        <w:rPr>
          <w:rFonts w:cstheme="minorHAnsi"/>
          <w:szCs w:val="24"/>
          <w:lang w:val="en-GB"/>
        </w:rPr>
      </w:pPr>
    </w:p>
    <w:p w:rsidR="003F2342" w:rsidRDefault="003F2342" w:rsidP="003F2342">
      <w:pPr>
        <w:spacing w:after="0" w:line="240" w:lineRule="auto"/>
        <w:rPr>
          <w:rFonts w:cstheme="minorHAnsi"/>
          <w:szCs w:val="24"/>
          <w:lang w:val="en-GB"/>
        </w:rPr>
      </w:pPr>
    </w:p>
    <w:p w:rsidR="003F2342" w:rsidRDefault="00140E66" w:rsidP="003F2342">
      <w:pPr>
        <w:spacing w:after="0" w:line="240" w:lineRule="auto"/>
        <w:rPr>
          <w:rFonts w:cstheme="minorHAnsi"/>
          <w:szCs w:val="24"/>
          <w:lang w:val="en-GB"/>
        </w:rPr>
      </w:pPr>
      <w:r w:rsidRPr="00140E66">
        <w:rPr>
          <w:rFonts w:cstheme="minorHAnsi"/>
          <w:szCs w:val="24"/>
          <w:lang w:val="en-GB"/>
        </w:rPr>
        <w:t>Through selected case studies of national contexts,</w:t>
      </w:r>
      <w:r w:rsidR="003F2342">
        <w:rPr>
          <w:rFonts w:cstheme="minorHAnsi"/>
          <w:szCs w:val="24"/>
          <w:lang w:val="en-GB"/>
        </w:rPr>
        <w:t xml:space="preserve"> the session will address the following key questions:</w:t>
      </w:r>
    </w:p>
    <w:p w:rsidR="00140E66" w:rsidRPr="003F2342" w:rsidRDefault="00140E66" w:rsidP="003F2342">
      <w:pPr>
        <w:pStyle w:val="ListParagraph"/>
        <w:numPr>
          <w:ilvl w:val="0"/>
          <w:numId w:val="20"/>
        </w:numPr>
        <w:rPr>
          <w:rFonts w:cstheme="minorHAnsi"/>
          <w:szCs w:val="24"/>
          <w:lang w:val="en-GB"/>
        </w:rPr>
      </w:pPr>
      <w:r w:rsidRPr="003F2342">
        <w:rPr>
          <w:rFonts w:cstheme="minorHAnsi"/>
          <w:szCs w:val="24"/>
          <w:lang w:val="en-GB"/>
        </w:rPr>
        <w:lastRenderedPageBreak/>
        <w:t xml:space="preserve">What data and surveillance requirements do national and international actors have, within both the PWD and </w:t>
      </w:r>
      <w:r w:rsidRPr="008670F7">
        <w:rPr>
          <w:rFonts w:cstheme="minorHAnsi"/>
          <w:szCs w:val="24"/>
          <w:lang w:val="en-GB"/>
        </w:rPr>
        <w:t>HMA</w:t>
      </w:r>
      <w:r w:rsidRPr="003F2342">
        <w:rPr>
          <w:rFonts w:cstheme="minorHAnsi"/>
          <w:szCs w:val="24"/>
          <w:lang w:val="en-GB"/>
        </w:rPr>
        <w:t xml:space="preserve"> sectors? </w:t>
      </w:r>
    </w:p>
    <w:p w:rsidR="00140E66" w:rsidRPr="00140E66" w:rsidRDefault="00140E66" w:rsidP="00140E66">
      <w:pPr>
        <w:pStyle w:val="ListParagraph"/>
        <w:numPr>
          <w:ilvl w:val="0"/>
          <w:numId w:val="18"/>
        </w:numPr>
        <w:rPr>
          <w:rFonts w:cstheme="minorHAnsi"/>
          <w:szCs w:val="24"/>
          <w:lang w:val="en-GB"/>
        </w:rPr>
      </w:pPr>
      <w:r w:rsidRPr="00140E66">
        <w:rPr>
          <w:rFonts w:cstheme="minorHAnsi"/>
          <w:szCs w:val="24"/>
          <w:lang w:val="en-GB"/>
        </w:rPr>
        <w:t xml:space="preserve">How are these requirements related? </w:t>
      </w:r>
      <w:r>
        <w:rPr>
          <w:rFonts w:cstheme="minorHAnsi"/>
          <w:szCs w:val="24"/>
          <w:lang w:val="en-GB"/>
        </w:rPr>
        <w:t>What are their similarities and differences</w:t>
      </w:r>
      <w:r w:rsidRPr="00140E66">
        <w:rPr>
          <w:rFonts w:cstheme="minorHAnsi"/>
          <w:szCs w:val="24"/>
          <w:lang w:val="en-GB"/>
        </w:rPr>
        <w:t>?</w:t>
      </w:r>
    </w:p>
    <w:p w:rsidR="00140E66" w:rsidRPr="00140E66" w:rsidRDefault="00140E66" w:rsidP="00140E66">
      <w:pPr>
        <w:pStyle w:val="ListParagraph"/>
        <w:numPr>
          <w:ilvl w:val="0"/>
          <w:numId w:val="18"/>
        </w:numPr>
        <w:rPr>
          <w:rFonts w:cstheme="minorHAnsi"/>
          <w:szCs w:val="24"/>
          <w:lang w:val="en-GB"/>
        </w:rPr>
      </w:pPr>
      <w:r w:rsidRPr="00140E66">
        <w:rPr>
          <w:rFonts w:cstheme="minorHAnsi"/>
          <w:szCs w:val="24"/>
          <w:lang w:val="en-GB"/>
        </w:rPr>
        <w:t xml:space="preserve">What survey and/or other data </w:t>
      </w:r>
      <w:r>
        <w:rPr>
          <w:rFonts w:cstheme="minorHAnsi"/>
          <w:szCs w:val="24"/>
          <w:lang w:val="en-GB"/>
        </w:rPr>
        <w:t>exist in relation to</w:t>
      </w:r>
      <w:r w:rsidRPr="00140E66">
        <w:rPr>
          <w:rFonts w:cstheme="minorHAnsi"/>
          <w:szCs w:val="24"/>
          <w:lang w:val="en-GB"/>
        </w:rPr>
        <w:t xml:space="preserve"> PWD in general</w:t>
      </w:r>
      <w:r>
        <w:rPr>
          <w:rFonts w:cstheme="minorHAnsi"/>
          <w:szCs w:val="24"/>
          <w:lang w:val="en-GB"/>
        </w:rPr>
        <w:t xml:space="preserve"> and victims/survivors specifically</w:t>
      </w:r>
      <w:r w:rsidRPr="00140E66">
        <w:rPr>
          <w:rFonts w:cstheme="minorHAnsi"/>
          <w:szCs w:val="24"/>
          <w:lang w:val="en-GB"/>
        </w:rPr>
        <w:t xml:space="preserve">? </w:t>
      </w:r>
    </w:p>
    <w:p w:rsidR="00140E66" w:rsidRPr="00140E66" w:rsidRDefault="00140E66" w:rsidP="00140E66">
      <w:pPr>
        <w:pStyle w:val="ListParagraph"/>
        <w:numPr>
          <w:ilvl w:val="0"/>
          <w:numId w:val="18"/>
        </w:numPr>
        <w:rPr>
          <w:rFonts w:cstheme="minorHAnsi"/>
          <w:szCs w:val="24"/>
          <w:lang w:val="en-GB"/>
        </w:rPr>
      </w:pPr>
      <w:r w:rsidRPr="00140E66">
        <w:rPr>
          <w:rFonts w:cstheme="minorHAnsi"/>
          <w:szCs w:val="24"/>
          <w:lang w:val="en-GB"/>
        </w:rPr>
        <w:t xml:space="preserve">How might </w:t>
      </w:r>
      <w:proofErr w:type="gramStart"/>
      <w:r w:rsidRPr="00140E66">
        <w:rPr>
          <w:rFonts w:cstheme="minorHAnsi"/>
          <w:szCs w:val="24"/>
          <w:lang w:val="en-GB"/>
        </w:rPr>
        <w:t>existing</w:t>
      </w:r>
      <w:proofErr w:type="gramEnd"/>
      <w:r w:rsidRPr="00140E66">
        <w:rPr>
          <w:rFonts w:cstheme="minorHAnsi"/>
          <w:szCs w:val="24"/>
          <w:lang w:val="en-GB"/>
        </w:rPr>
        <w:t xml:space="preserve"> data be used by national and international actors to discharge their responsibilities with respect to States’ obligations to victims/survivors under the CCM and other legal instruments?</w:t>
      </w:r>
    </w:p>
    <w:p w:rsidR="00140E66" w:rsidRDefault="00140E66" w:rsidP="00140E66">
      <w:pPr>
        <w:pStyle w:val="ListParagraph"/>
        <w:numPr>
          <w:ilvl w:val="0"/>
          <w:numId w:val="19"/>
        </w:numPr>
        <w:ind w:left="720"/>
        <w:rPr>
          <w:rFonts w:cstheme="minorHAnsi"/>
          <w:szCs w:val="24"/>
          <w:lang w:val="en-GB"/>
        </w:rPr>
      </w:pPr>
      <w:r w:rsidRPr="00140E66">
        <w:rPr>
          <w:rFonts w:cstheme="minorHAnsi"/>
          <w:szCs w:val="24"/>
          <w:lang w:val="en-GB"/>
        </w:rPr>
        <w:t xml:space="preserve">What </w:t>
      </w:r>
      <w:r>
        <w:rPr>
          <w:rFonts w:cstheme="minorHAnsi"/>
          <w:szCs w:val="24"/>
          <w:lang w:val="en-GB"/>
        </w:rPr>
        <w:t xml:space="preserve">are the </w:t>
      </w:r>
      <w:r w:rsidRPr="00140E66">
        <w:rPr>
          <w:rFonts w:cstheme="minorHAnsi"/>
          <w:szCs w:val="24"/>
          <w:lang w:val="en-GB"/>
        </w:rPr>
        <w:t xml:space="preserve">initiatives </w:t>
      </w:r>
      <w:r>
        <w:rPr>
          <w:rFonts w:cstheme="minorHAnsi"/>
          <w:szCs w:val="24"/>
          <w:lang w:val="en-GB"/>
        </w:rPr>
        <w:t xml:space="preserve">in place </w:t>
      </w:r>
      <w:r w:rsidRPr="00140E66">
        <w:rPr>
          <w:rFonts w:cstheme="minorHAnsi"/>
          <w:szCs w:val="24"/>
          <w:lang w:val="en-GB"/>
        </w:rPr>
        <w:t xml:space="preserve">for collecting and managing these data? What obstacles do </w:t>
      </w:r>
      <w:r>
        <w:rPr>
          <w:rFonts w:cstheme="minorHAnsi"/>
          <w:szCs w:val="24"/>
          <w:lang w:val="en-GB"/>
        </w:rPr>
        <w:t>they</w:t>
      </w:r>
      <w:r w:rsidRPr="00140E66">
        <w:rPr>
          <w:rFonts w:cstheme="minorHAnsi"/>
          <w:szCs w:val="24"/>
          <w:lang w:val="en-GB"/>
        </w:rPr>
        <w:t xml:space="preserve"> face</w:t>
      </w:r>
      <w:r>
        <w:rPr>
          <w:rFonts w:cstheme="minorHAnsi"/>
          <w:szCs w:val="24"/>
          <w:lang w:val="en-GB"/>
        </w:rPr>
        <w:t>?</w:t>
      </w:r>
      <w:r w:rsidRPr="00140E66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>Are</w:t>
      </w:r>
      <w:r w:rsidRPr="00140E66">
        <w:rPr>
          <w:rFonts w:cstheme="minorHAnsi"/>
          <w:szCs w:val="24"/>
          <w:lang w:val="en-GB"/>
        </w:rPr>
        <w:t xml:space="preserve"> new initiatives </w:t>
      </w:r>
      <w:r>
        <w:rPr>
          <w:rFonts w:cstheme="minorHAnsi"/>
          <w:szCs w:val="24"/>
          <w:lang w:val="en-GB"/>
        </w:rPr>
        <w:t xml:space="preserve">planned that </w:t>
      </w:r>
      <w:r w:rsidRPr="00140E66">
        <w:rPr>
          <w:rFonts w:cstheme="minorHAnsi"/>
          <w:szCs w:val="24"/>
          <w:lang w:val="en-GB"/>
        </w:rPr>
        <w:t>address these obstacles?</w:t>
      </w:r>
    </w:p>
    <w:p w:rsidR="00B47E96" w:rsidRDefault="00B47E96" w:rsidP="00B47E96">
      <w:pPr>
        <w:pStyle w:val="ListParagraph"/>
        <w:ind w:left="787"/>
        <w:rPr>
          <w:rFonts w:cstheme="minorHAnsi"/>
          <w:szCs w:val="24"/>
          <w:lang w:val="en-GB"/>
        </w:rPr>
      </w:pPr>
    </w:p>
    <w:p w:rsidR="00140E66" w:rsidRPr="00140E66" w:rsidRDefault="00171FA1" w:rsidP="00140E66">
      <w:pPr>
        <w:pStyle w:val="Heading2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Description</w:t>
      </w:r>
      <w:r w:rsidR="00140E66" w:rsidRPr="00140E66">
        <w:rPr>
          <w:rFonts w:ascii="Calibri" w:eastAsia="Times New Roman" w:hAnsi="Calibri" w:cs="Calibri"/>
          <w:lang w:val="en-US"/>
        </w:rPr>
        <w:t xml:space="preserve"> of the </w:t>
      </w:r>
      <w:r w:rsidR="00140E66">
        <w:rPr>
          <w:rFonts w:ascii="Calibri" w:eastAsia="Times New Roman" w:hAnsi="Calibri" w:cs="Calibri"/>
          <w:lang w:val="en-US"/>
        </w:rPr>
        <w:t>session</w:t>
      </w:r>
    </w:p>
    <w:p w:rsidR="00171FA1" w:rsidRDefault="00171FA1" w:rsidP="00140E66">
      <w:pPr>
        <w:spacing w:after="0" w:line="240" w:lineRule="auto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 xml:space="preserve">The session will </w:t>
      </w:r>
      <w:r w:rsidR="003F2342">
        <w:rPr>
          <w:rFonts w:cstheme="minorHAnsi"/>
          <w:szCs w:val="24"/>
          <w:lang w:val="en-GB"/>
        </w:rPr>
        <w:t>address</w:t>
      </w:r>
      <w:r>
        <w:rPr>
          <w:rFonts w:cstheme="minorHAnsi"/>
          <w:szCs w:val="24"/>
          <w:lang w:val="en-GB"/>
        </w:rPr>
        <w:t xml:space="preserve"> different</w:t>
      </w:r>
      <w:r w:rsidR="003F2342">
        <w:rPr>
          <w:rFonts w:cstheme="minorHAnsi"/>
          <w:szCs w:val="24"/>
          <w:lang w:val="en-GB"/>
        </w:rPr>
        <w:t xml:space="preserve"> issues related to PWD data:</w:t>
      </w:r>
    </w:p>
    <w:p w:rsidR="00171FA1" w:rsidRDefault="00171FA1" w:rsidP="00140E66">
      <w:pPr>
        <w:spacing w:after="0" w:line="240" w:lineRule="auto"/>
        <w:rPr>
          <w:rFonts w:cstheme="minorHAnsi"/>
          <w:szCs w:val="24"/>
          <w:lang w:val="en-GB"/>
        </w:rPr>
      </w:pPr>
    </w:p>
    <w:p w:rsidR="003F2342" w:rsidRDefault="003F2342" w:rsidP="00140E66">
      <w:pPr>
        <w:pStyle w:val="ListParagraph"/>
        <w:numPr>
          <w:ilvl w:val="0"/>
          <w:numId w:val="21"/>
        </w:numPr>
        <w:rPr>
          <w:rFonts w:cstheme="minorHAnsi"/>
          <w:szCs w:val="24"/>
          <w:lang w:val="en-GB"/>
        </w:rPr>
      </w:pPr>
      <w:r w:rsidRPr="003F2342">
        <w:rPr>
          <w:rFonts w:cstheme="minorHAnsi"/>
          <w:szCs w:val="24"/>
          <w:lang w:val="en-GB"/>
        </w:rPr>
        <w:t>A</w:t>
      </w:r>
      <w:r w:rsidR="00140E66" w:rsidRPr="003F2342">
        <w:rPr>
          <w:rFonts w:cstheme="minorHAnsi"/>
          <w:szCs w:val="24"/>
          <w:lang w:val="en-GB"/>
        </w:rPr>
        <w:t xml:space="preserve">nalysis and better understanding of </w:t>
      </w:r>
      <w:r w:rsidR="00171FA1" w:rsidRPr="003F2342">
        <w:rPr>
          <w:rFonts w:cstheme="minorHAnsi"/>
          <w:szCs w:val="24"/>
          <w:lang w:val="en-GB"/>
        </w:rPr>
        <w:t xml:space="preserve">existing </w:t>
      </w:r>
      <w:r w:rsidR="00140E66" w:rsidRPr="003F2342">
        <w:rPr>
          <w:rFonts w:cstheme="minorHAnsi"/>
          <w:szCs w:val="24"/>
          <w:lang w:val="en-GB"/>
        </w:rPr>
        <w:t>survey</w:t>
      </w:r>
      <w:r w:rsidR="00171FA1" w:rsidRPr="003F2342">
        <w:rPr>
          <w:rFonts w:cstheme="minorHAnsi"/>
          <w:szCs w:val="24"/>
          <w:lang w:val="en-GB"/>
        </w:rPr>
        <w:t>s</w:t>
      </w:r>
      <w:r w:rsidR="00140E66" w:rsidRPr="003F2342">
        <w:rPr>
          <w:rFonts w:cstheme="minorHAnsi"/>
          <w:szCs w:val="24"/>
          <w:lang w:val="en-GB"/>
        </w:rPr>
        <w:t xml:space="preserve"> or other</w:t>
      </w:r>
      <w:r w:rsidR="00171FA1" w:rsidRPr="003F2342">
        <w:rPr>
          <w:rFonts w:cstheme="minorHAnsi"/>
          <w:szCs w:val="24"/>
          <w:lang w:val="en-GB"/>
        </w:rPr>
        <w:t xml:space="preserve"> PWD-related</w:t>
      </w:r>
      <w:r w:rsidR="00140E66" w:rsidRPr="003F2342">
        <w:rPr>
          <w:rFonts w:cstheme="minorHAnsi"/>
          <w:szCs w:val="24"/>
          <w:lang w:val="en-GB"/>
        </w:rPr>
        <w:t xml:space="preserve"> data</w:t>
      </w:r>
      <w:r w:rsidR="00171FA1" w:rsidRPr="003F2342">
        <w:rPr>
          <w:rFonts w:cstheme="minorHAnsi"/>
          <w:szCs w:val="24"/>
          <w:lang w:val="en-GB"/>
        </w:rPr>
        <w:t xml:space="preserve"> </w:t>
      </w:r>
      <w:r w:rsidR="00140E66" w:rsidRPr="003F2342">
        <w:rPr>
          <w:rFonts w:cstheme="minorHAnsi"/>
          <w:szCs w:val="24"/>
          <w:lang w:val="en-GB"/>
        </w:rPr>
        <w:t>in selected national case studies</w:t>
      </w:r>
      <w:r w:rsidR="00171FA1" w:rsidRPr="003F2342">
        <w:rPr>
          <w:rFonts w:cstheme="minorHAnsi"/>
          <w:szCs w:val="24"/>
          <w:lang w:val="en-GB"/>
        </w:rPr>
        <w:t xml:space="preserve">; </w:t>
      </w:r>
      <w:r w:rsidRPr="003F2342">
        <w:rPr>
          <w:rFonts w:cstheme="minorHAnsi"/>
          <w:szCs w:val="24"/>
          <w:lang w:val="en-GB"/>
        </w:rPr>
        <w:t>study of the</w:t>
      </w:r>
      <w:r w:rsidR="00140E66" w:rsidRPr="003F2342">
        <w:rPr>
          <w:rFonts w:cstheme="minorHAnsi"/>
          <w:szCs w:val="24"/>
          <w:lang w:val="en-GB"/>
        </w:rPr>
        <w:t xml:space="preserve"> broader international perspective, including on-going initiatives and existing plans for new initiatives. </w:t>
      </w:r>
    </w:p>
    <w:p w:rsidR="0009083E" w:rsidRDefault="003F2342" w:rsidP="00140E66">
      <w:pPr>
        <w:pStyle w:val="ListParagraph"/>
        <w:numPr>
          <w:ilvl w:val="0"/>
          <w:numId w:val="21"/>
        </w:numPr>
        <w:rPr>
          <w:rFonts w:cstheme="minorHAnsi"/>
          <w:szCs w:val="24"/>
          <w:lang w:val="en-GB"/>
        </w:rPr>
      </w:pPr>
      <w:r w:rsidRPr="0009083E">
        <w:rPr>
          <w:rFonts w:cstheme="minorHAnsi"/>
          <w:szCs w:val="24"/>
          <w:lang w:val="en-GB"/>
        </w:rPr>
        <w:t>A</w:t>
      </w:r>
      <w:r w:rsidR="00140E66" w:rsidRPr="0009083E">
        <w:rPr>
          <w:rFonts w:cstheme="minorHAnsi"/>
          <w:szCs w:val="24"/>
          <w:lang w:val="en-GB"/>
        </w:rPr>
        <w:t>nalysis and better understanding of data requirements</w:t>
      </w:r>
      <w:r w:rsidRPr="0009083E">
        <w:rPr>
          <w:rFonts w:cstheme="minorHAnsi"/>
          <w:szCs w:val="24"/>
          <w:lang w:val="en-GB"/>
        </w:rPr>
        <w:t xml:space="preserve"> for</w:t>
      </w:r>
      <w:r w:rsidR="00140E66" w:rsidRPr="0009083E">
        <w:rPr>
          <w:rFonts w:cstheme="minorHAnsi"/>
          <w:szCs w:val="24"/>
          <w:lang w:val="en-GB"/>
        </w:rPr>
        <w:t xml:space="preserve"> mine action national and international actors including challenges in meeting them. </w:t>
      </w:r>
    </w:p>
    <w:p w:rsidR="0009083E" w:rsidRDefault="0009083E" w:rsidP="00140E66">
      <w:pPr>
        <w:pStyle w:val="ListParagraph"/>
        <w:numPr>
          <w:ilvl w:val="0"/>
          <w:numId w:val="21"/>
        </w:numPr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>V</w:t>
      </w:r>
      <w:r w:rsidR="00140E66" w:rsidRPr="0009083E">
        <w:rPr>
          <w:rFonts w:cstheme="minorHAnsi"/>
          <w:szCs w:val="24"/>
          <w:lang w:val="en-GB"/>
        </w:rPr>
        <w:t xml:space="preserve">ictim assistance and disability landscape </w:t>
      </w:r>
      <w:r>
        <w:rPr>
          <w:rFonts w:cstheme="minorHAnsi"/>
          <w:szCs w:val="24"/>
          <w:lang w:val="en-GB"/>
        </w:rPr>
        <w:t xml:space="preserve">seen </w:t>
      </w:r>
      <w:r w:rsidR="00140E66" w:rsidRPr="0009083E">
        <w:rPr>
          <w:rFonts w:cstheme="minorHAnsi"/>
          <w:szCs w:val="24"/>
          <w:lang w:val="en-GB"/>
        </w:rPr>
        <w:t>in terms of information management systems</w:t>
      </w:r>
      <w:r>
        <w:rPr>
          <w:rFonts w:cstheme="minorHAnsi"/>
          <w:szCs w:val="24"/>
          <w:lang w:val="en-GB"/>
        </w:rPr>
        <w:t xml:space="preserve">: </w:t>
      </w:r>
      <w:r w:rsidR="00140E66" w:rsidRPr="0009083E">
        <w:rPr>
          <w:rFonts w:cstheme="minorHAnsi"/>
          <w:szCs w:val="24"/>
          <w:lang w:val="en-GB"/>
        </w:rPr>
        <w:t xml:space="preserve"> recommendations </w:t>
      </w:r>
      <w:r>
        <w:rPr>
          <w:rFonts w:cstheme="minorHAnsi"/>
          <w:szCs w:val="24"/>
          <w:lang w:val="en-GB"/>
        </w:rPr>
        <w:t>for</w:t>
      </w:r>
      <w:r w:rsidR="00140E66" w:rsidRPr="0009083E">
        <w:rPr>
          <w:rFonts w:cstheme="minorHAnsi"/>
          <w:szCs w:val="24"/>
          <w:lang w:val="en-GB"/>
        </w:rPr>
        <w:t xml:space="preserve"> IMSMA software</w:t>
      </w:r>
      <w:r>
        <w:rPr>
          <w:rFonts w:cstheme="minorHAnsi"/>
          <w:szCs w:val="24"/>
          <w:lang w:val="en-GB"/>
        </w:rPr>
        <w:t xml:space="preserve"> improvements to </w:t>
      </w:r>
      <w:r w:rsidR="00140E66" w:rsidRPr="0009083E">
        <w:rPr>
          <w:rFonts w:cstheme="minorHAnsi"/>
          <w:szCs w:val="24"/>
          <w:lang w:val="en-GB"/>
        </w:rPr>
        <w:t>better serve victim assistance</w:t>
      </w:r>
    </w:p>
    <w:p w:rsidR="0009083E" w:rsidRDefault="0009083E" w:rsidP="00140E66">
      <w:pPr>
        <w:pStyle w:val="ListParagraph"/>
        <w:numPr>
          <w:ilvl w:val="0"/>
          <w:numId w:val="21"/>
        </w:numPr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>O</w:t>
      </w:r>
      <w:r w:rsidRPr="00140E66">
        <w:rPr>
          <w:rFonts w:cstheme="minorHAnsi"/>
          <w:szCs w:val="24"/>
          <w:lang w:val="en-GB"/>
        </w:rPr>
        <w:t xml:space="preserve">verview of related programs and national laws (e.g. </w:t>
      </w:r>
      <w:r w:rsidRPr="00140E66">
        <w:rPr>
          <w:rFonts w:cstheme="minorHAnsi"/>
          <w:i/>
          <w:szCs w:val="24"/>
          <w:lang w:val="en-GB"/>
        </w:rPr>
        <w:t>Convention on the Rights and Dignity of People with Disabilities</w:t>
      </w:r>
      <w:r w:rsidRPr="00140E66">
        <w:rPr>
          <w:rFonts w:cstheme="minorHAnsi"/>
          <w:szCs w:val="24"/>
          <w:lang w:val="en-GB"/>
        </w:rPr>
        <w:t xml:space="preserve"> (CRPD) and the </w:t>
      </w:r>
      <w:r w:rsidRPr="00140E66">
        <w:rPr>
          <w:rFonts w:cstheme="minorHAnsi"/>
          <w:i/>
          <w:szCs w:val="24"/>
          <w:lang w:val="en-GB"/>
        </w:rPr>
        <w:t>Convention on Cluster Munitions</w:t>
      </w:r>
      <w:r w:rsidRPr="00140E66">
        <w:rPr>
          <w:rFonts w:cstheme="minorHAnsi"/>
          <w:szCs w:val="24"/>
          <w:lang w:val="en-GB"/>
        </w:rPr>
        <w:t xml:space="preserve"> (CCM), also known as The Oslo Treaty).</w:t>
      </w:r>
    </w:p>
    <w:p w:rsidR="0009083E" w:rsidRDefault="0009083E" w:rsidP="0009083E">
      <w:pPr>
        <w:rPr>
          <w:rFonts w:cstheme="minorHAnsi"/>
          <w:szCs w:val="24"/>
          <w:lang w:val="en-GB"/>
        </w:rPr>
      </w:pPr>
    </w:p>
    <w:p w:rsidR="00140E66" w:rsidRDefault="00140E66" w:rsidP="0009083E">
      <w:pPr>
        <w:rPr>
          <w:rFonts w:cstheme="minorHAnsi"/>
          <w:szCs w:val="24"/>
          <w:lang w:val="en-GB"/>
        </w:rPr>
      </w:pPr>
      <w:r w:rsidRPr="0009083E">
        <w:rPr>
          <w:rFonts w:cstheme="minorHAnsi"/>
          <w:szCs w:val="24"/>
          <w:lang w:val="en-GB"/>
        </w:rPr>
        <w:t>With the new version of IMSMA launched by GICHD this autumn, with inputs from case studies in Colombia and Vietnam</w:t>
      </w:r>
      <w:r w:rsidR="0009083E" w:rsidRPr="0009083E">
        <w:rPr>
          <w:rFonts w:cstheme="minorHAnsi"/>
          <w:szCs w:val="24"/>
          <w:lang w:val="en-GB"/>
        </w:rPr>
        <w:t xml:space="preserve">, participants </w:t>
      </w:r>
      <w:r w:rsidRPr="0009083E">
        <w:rPr>
          <w:rFonts w:cstheme="minorHAnsi"/>
          <w:szCs w:val="24"/>
          <w:lang w:val="en-GB"/>
        </w:rPr>
        <w:t xml:space="preserve">will have an opportunity to contribute to the future of PWD and mine/ERW information management in a direct and meaningful way. </w:t>
      </w:r>
    </w:p>
    <w:p w:rsidR="0009083E" w:rsidRPr="0009083E" w:rsidRDefault="0009083E" w:rsidP="0009083E">
      <w:pPr>
        <w:rPr>
          <w:rFonts w:cstheme="minorHAnsi"/>
          <w:szCs w:val="24"/>
          <w:lang w:val="en-GB"/>
        </w:rPr>
      </w:pPr>
    </w:p>
    <w:p w:rsidR="00B47E96" w:rsidRPr="00B47E96" w:rsidRDefault="00B47E96" w:rsidP="00B47E96">
      <w:pPr>
        <w:rPr>
          <w:lang w:val="en-US"/>
        </w:rPr>
      </w:pPr>
    </w:p>
    <w:sectPr w:rsidR="00B47E96" w:rsidRPr="00B47E96" w:rsidSect="0095772B">
      <w:pgSz w:w="12240" w:h="15840"/>
      <w:pgMar w:top="1276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E4" w:rsidRDefault="00FC39E4" w:rsidP="00A51BC9">
      <w:pPr>
        <w:spacing w:after="0" w:line="240" w:lineRule="auto"/>
      </w:pPr>
      <w:r>
        <w:separator/>
      </w:r>
    </w:p>
  </w:endnote>
  <w:endnote w:type="continuationSeparator" w:id="0">
    <w:p w:rsidR="00FC39E4" w:rsidRDefault="00FC39E4" w:rsidP="00A5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E4" w:rsidRDefault="00FC39E4" w:rsidP="00A51BC9">
      <w:pPr>
        <w:spacing w:after="0" w:line="240" w:lineRule="auto"/>
      </w:pPr>
      <w:r>
        <w:separator/>
      </w:r>
    </w:p>
  </w:footnote>
  <w:footnote w:type="continuationSeparator" w:id="0">
    <w:p w:rsidR="00FC39E4" w:rsidRDefault="00FC39E4" w:rsidP="00A5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474"/>
    <w:multiLevelType w:val="hybridMultilevel"/>
    <w:tmpl w:val="FB92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1760A"/>
    <w:multiLevelType w:val="hybridMultilevel"/>
    <w:tmpl w:val="438845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259DE"/>
    <w:multiLevelType w:val="hybridMultilevel"/>
    <w:tmpl w:val="DB0E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114DA"/>
    <w:multiLevelType w:val="hybridMultilevel"/>
    <w:tmpl w:val="4EA20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62ECF"/>
    <w:multiLevelType w:val="hybridMultilevel"/>
    <w:tmpl w:val="CEC85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C2928"/>
    <w:multiLevelType w:val="hybridMultilevel"/>
    <w:tmpl w:val="51E2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51408"/>
    <w:multiLevelType w:val="hybridMultilevel"/>
    <w:tmpl w:val="4A64341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2F4233A1"/>
    <w:multiLevelType w:val="hybridMultilevel"/>
    <w:tmpl w:val="A726DC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45505"/>
    <w:multiLevelType w:val="hybridMultilevel"/>
    <w:tmpl w:val="E3C822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EE54A1"/>
    <w:multiLevelType w:val="hybridMultilevel"/>
    <w:tmpl w:val="D990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8354D"/>
    <w:multiLevelType w:val="hybridMultilevel"/>
    <w:tmpl w:val="F922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D6749"/>
    <w:multiLevelType w:val="hybridMultilevel"/>
    <w:tmpl w:val="4402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07DF7"/>
    <w:multiLevelType w:val="hybridMultilevel"/>
    <w:tmpl w:val="8A72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A72A1"/>
    <w:multiLevelType w:val="hybridMultilevel"/>
    <w:tmpl w:val="C6C618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104DB"/>
    <w:multiLevelType w:val="hybridMultilevel"/>
    <w:tmpl w:val="024674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136E5"/>
    <w:multiLevelType w:val="hybridMultilevel"/>
    <w:tmpl w:val="538224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8552C0"/>
    <w:multiLevelType w:val="hybridMultilevel"/>
    <w:tmpl w:val="8C1A6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06324C"/>
    <w:multiLevelType w:val="hybridMultilevel"/>
    <w:tmpl w:val="B920A1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0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6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E1"/>
    <w:rsid w:val="00013388"/>
    <w:rsid w:val="00035F7B"/>
    <w:rsid w:val="00071653"/>
    <w:rsid w:val="0009083E"/>
    <w:rsid w:val="000A4E12"/>
    <w:rsid w:val="000C78E9"/>
    <w:rsid w:val="000F01B4"/>
    <w:rsid w:val="000F04E4"/>
    <w:rsid w:val="000F456C"/>
    <w:rsid w:val="00120908"/>
    <w:rsid w:val="00135051"/>
    <w:rsid w:val="00140E66"/>
    <w:rsid w:val="00171FA1"/>
    <w:rsid w:val="00187D8C"/>
    <w:rsid w:val="001C1B24"/>
    <w:rsid w:val="001D3515"/>
    <w:rsid w:val="001E0827"/>
    <w:rsid w:val="001E2EDE"/>
    <w:rsid w:val="00231CED"/>
    <w:rsid w:val="00235582"/>
    <w:rsid w:val="002858BF"/>
    <w:rsid w:val="002B4A8B"/>
    <w:rsid w:val="002C6F1A"/>
    <w:rsid w:val="00336D9D"/>
    <w:rsid w:val="003442C1"/>
    <w:rsid w:val="003531D5"/>
    <w:rsid w:val="003610D2"/>
    <w:rsid w:val="00366892"/>
    <w:rsid w:val="003972C8"/>
    <w:rsid w:val="003F2342"/>
    <w:rsid w:val="00426152"/>
    <w:rsid w:val="004268B2"/>
    <w:rsid w:val="00437DAB"/>
    <w:rsid w:val="004C618D"/>
    <w:rsid w:val="004D7447"/>
    <w:rsid w:val="004E44C0"/>
    <w:rsid w:val="004F0C8F"/>
    <w:rsid w:val="004F1565"/>
    <w:rsid w:val="00511EE6"/>
    <w:rsid w:val="00544F14"/>
    <w:rsid w:val="005A6E05"/>
    <w:rsid w:val="006023F4"/>
    <w:rsid w:val="00603310"/>
    <w:rsid w:val="00603521"/>
    <w:rsid w:val="006225C4"/>
    <w:rsid w:val="006701F2"/>
    <w:rsid w:val="006C565F"/>
    <w:rsid w:val="006D44FE"/>
    <w:rsid w:val="00714E58"/>
    <w:rsid w:val="007931DB"/>
    <w:rsid w:val="007C15A6"/>
    <w:rsid w:val="007E0A5B"/>
    <w:rsid w:val="007F222C"/>
    <w:rsid w:val="00810BE6"/>
    <w:rsid w:val="00811B10"/>
    <w:rsid w:val="00813424"/>
    <w:rsid w:val="00857093"/>
    <w:rsid w:val="008670F7"/>
    <w:rsid w:val="00877BDF"/>
    <w:rsid w:val="00884386"/>
    <w:rsid w:val="00891508"/>
    <w:rsid w:val="008962C7"/>
    <w:rsid w:val="008B2CD5"/>
    <w:rsid w:val="008C1223"/>
    <w:rsid w:val="00912FB2"/>
    <w:rsid w:val="00914AB8"/>
    <w:rsid w:val="0095772B"/>
    <w:rsid w:val="00965EF4"/>
    <w:rsid w:val="00972613"/>
    <w:rsid w:val="0097456F"/>
    <w:rsid w:val="0098435F"/>
    <w:rsid w:val="00993637"/>
    <w:rsid w:val="00995BE2"/>
    <w:rsid w:val="00996DE0"/>
    <w:rsid w:val="009A23E1"/>
    <w:rsid w:val="009B1EA4"/>
    <w:rsid w:val="009D635B"/>
    <w:rsid w:val="009F235D"/>
    <w:rsid w:val="00A10853"/>
    <w:rsid w:val="00A13393"/>
    <w:rsid w:val="00A51BC9"/>
    <w:rsid w:val="00A64D68"/>
    <w:rsid w:val="00A64F26"/>
    <w:rsid w:val="00A741E8"/>
    <w:rsid w:val="00A7639B"/>
    <w:rsid w:val="00A83BE2"/>
    <w:rsid w:val="00AB3834"/>
    <w:rsid w:val="00AD55BD"/>
    <w:rsid w:val="00B37A60"/>
    <w:rsid w:val="00B46D9B"/>
    <w:rsid w:val="00B47E96"/>
    <w:rsid w:val="00B53BFF"/>
    <w:rsid w:val="00BB3945"/>
    <w:rsid w:val="00BC0355"/>
    <w:rsid w:val="00BE5A3C"/>
    <w:rsid w:val="00C150D8"/>
    <w:rsid w:val="00C158AF"/>
    <w:rsid w:val="00C244DB"/>
    <w:rsid w:val="00C47991"/>
    <w:rsid w:val="00C92715"/>
    <w:rsid w:val="00CC188D"/>
    <w:rsid w:val="00D05FE2"/>
    <w:rsid w:val="00D461B0"/>
    <w:rsid w:val="00D470C2"/>
    <w:rsid w:val="00D47E9C"/>
    <w:rsid w:val="00D63600"/>
    <w:rsid w:val="00D6370B"/>
    <w:rsid w:val="00D81DE0"/>
    <w:rsid w:val="00DD15E0"/>
    <w:rsid w:val="00DD7116"/>
    <w:rsid w:val="00DE0EC5"/>
    <w:rsid w:val="00DE4D88"/>
    <w:rsid w:val="00E03BDF"/>
    <w:rsid w:val="00E078FE"/>
    <w:rsid w:val="00E11CCF"/>
    <w:rsid w:val="00E16A66"/>
    <w:rsid w:val="00E171F5"/>
    <w:rsid w:val="00E17D55"/>
    <w:rsid w:val="00E26C5C"/>
    <w:rsid w:val="00E52141"/>
    <w:rsid w:val="00E54895"/>
    <w:rsid w:val="00E6060A"/>
    <w:rsid w:val="00EA2D9A"/>
    <w:rsid w:val="00EA464F"/>
    <w:rsid w:val="00EA7EBF"/>
    <w:rsid w:val="00F14FEE"/>
    <w:rsid w:val="00F158E0"/>
    <w:rsid w:val="00F2171D"/>
    <w:rsid w:val="00F57D68"/>
    <w:rsid w:val="00F66205"/>
    <w:rsid w:val="00F6730C"/>
    <w:rsid w:val="00F8192F"/>
    <w:rsid w:val="00F83935"/>
    <w:rsid w:val="00F86255"/>
    <w:rsid w:val="00FB114A"/>
    <w:rsid w:val="00FB61C4"/>
    <w:rsid w:val="00FC39E4"/>
    <w:rsid w:val="00FD1F52"/>
    <w:rsid w:val="00FD47BB"/>
    <w:rsid w:val="00FD67C9"/>
    <w:rsid w:val="00FF3210"/>
    <w:rsid w:val="00FF6209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BC9"/>
    <w:pPr>
      <w:keepNext/>
      <w:keepLines/>
      <w:spacing w:before="200" w:after="10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C9003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5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B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BC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51B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51BC9"/>
    <w:rPr>
      <w:rFonts w:asciiTheme="majorHAnsi" w:eastAsiaTheme="majorEastAsia" w:hAnsiTheme="majorHAnsi" w:cstheme="majorBidi"/>
      <w:b/>
      <w:bCs/>
      <w:color w:val="C90036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A51BC9"/>
    <w:pPr>
      <w:spacing w:after="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5EF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Hyperlink">
    <w:name w:val="Hyperlink"/>
    <w:basedOn w:val="DefaultParagraphFont"/>
    <w:uiPriority w:val="99"/>
    <w:unhideWhenUsed/>
    <w:rsid w:val="00EA7EB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1B2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F6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0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09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7261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5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BC9"/>
    <w:pPr>
      <w:keepNext/>
      <w:keepLines/>
      <w:spacing w:before="200" w:after="10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C9003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5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B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BC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51B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51BC9"/>
    <w:rPr>
      <w:rFonts w:asciiTheme="majorHAnsi" w:eastAsiaTheme="majorEastAsia" w:hAnsiTheme="majorHAnsi" w:cstheme="majorBidi"/>
      <w:b/>
      <w:bCs/>
      <w:color w:val="C90036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A51BC9"/>
    <w:pPr>
      <w:spacing w:after="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5EF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Hyperlink">
    <w:name w:val="Hyperlink"/>
    <w:basedOn w:val="DefaultParagraphFont"/>
    <w:uiPriority w:val="99"/>
    <w:unhideWhenUsed/>
    <w:rsid w:val="00EA7EB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1B2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F6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0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09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7261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5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21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08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F9C24"/>
                            <w:right w:val="none" w:sz="0" w:space="0" w:color="auto"/>
                          </w:divBdr>
                          <w:divsChild>
                            <w:div w:id="349375823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EBCB-3640-4186-9E43-8E4A7E96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189A07B1</Template>
  <TotalTime>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GCSP IT Dept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warnea</dc:creator>
  <cp:lastModifiedBy>Rapillard Pascal</cp:lastModifiedBy>
  <cp:revision>2</cp:revision>
  <cp:lastPrinted>2012-10-25T11:10:00Z</cp:lastPrinted>
  <dcterms:created xsi:type="dcterms:W3CDTF">2013-08-28T11:36:00Z</dcterms:created>
  <dcterms:modified xsi:type="dcterms:W3CDTF">2013-08-28T11:36:00Z</dcterms:modified>
</cp:coreProperties>
</file>